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B35" w:rsidRPr="00B612BA" w:rsidRDefault="00A91836">
      <w:pPr>
        <w:rPr>
          <w:rFonts w:asciiTheme="minorHAnsi" w:hAnsiTheme="minorHAnsi" w:cstheme="minorHAnsi"/>
          <w:b/>
          <w:sz w:val="22"/>
        </w:rPr>
      </w:pPr>
      <w:r w:rsidRPr="00B612BA">
        <w:rPr>
          <w:rFonts w:asciiTheme="minorHAnsi" w:hAnsiTheme="minorHAnsi" w:cstheme="minorHAnsi"/>
          <w:b/>
          <w:sz w:val="22"/>
        </w:rPr>
        <w:t>ProCure22 Clarification Notice in respect of the Framework Agreement issued as part of the ITT dated 9 May 2016</w:t>
      </w:r>
    </w:p>
    <w:p w:rsidR="00A91836" w:rsidRPr="00B612BA" w:rsidRDefault="00A91836">
      <w:pPr>
        <w:rPr>
          <w:rFonts w:asciiTheme="minorHAnsi" w:hAnsiTheme="minorHAnsi" w:cstheme="minorHAnsi"/>
          <w:sz w:val="22"/>
        </w:rPr>
      </w:pPr>
      <w:r w:rsidRPr="00B612BA">
        <w:rPr>
          <w:rFonts w:asciiTheme="minorHAnsi" w:hAnsiTheme="minorHAnsi" w:cstheme="minorHAnsi"/>
          <w:sz w:val="22"/>
        </w:rPr>
        <w:t>Tenderers shall note that the Framework Agreement has been amended as follows:</w:t>
      </w:r>
    </w:p>
    <w:p w:rsidR="00A91836" w:rsidRPr="00B612BA" w:rsidRDefault="00A91836" w:rsidP="00A91836">
      <w:pPr>
        <w:pStyle w:val="ListParagraph"/>
        <w:numPr>
          <w:ilvl w:val="0"/>
          <w:numId w:val="2"/>
        </w:numPr>
        <w:ind w:hanging="720"/>
        <w:rPr>
          <w:rFonts w:asciiTheme="minorHAnsi" w:hAnsiTheme="minorHAnsi" w:cstheme="minorHAnsi"/>
          <w:sz w:val="22"/>
        </w:rPr>
      </w:pPr>
      <w:r w:rsidRPr="00B612BA">
        <w:rPr>
          <w:rFonts w:asciiTheme="minorHAnsi" w:hAnsiTheme="minorHAnsi" w:cstheme="minorHAnsi"/>
          <w:sz w:val="22"/>
        </w:rPr>
        <w:t>Clause 21.1.3 contained incorrect cross references.  These have been corrected and this clause now reads:</w:t>
      </w:r>
    </w:p>
    <w:p w:rsidR="00A91836" w:rsidRPr="00B612BA" w:rsidRDefault="00A91836" w:rsidP="00A91836">
      <w:pPr>
        <w:pStyle w:val="GPSL3numberedclause"/>
        <w:numPr>
          <w:ilvl w:val="0"/>
          <w:numId w:val="0"/>
        </w:numPr>
        <w:tabs>
          <w:tab w:val="clear" w:pos="1985"/>
          <w:tab w:val="left" w:pos="1418"/>
        </w:tabs>
        <w:ind w:left="709"/>
        <w:rPr>
          <w:rFonts w:asciiTheme="minorHAnsi" w:hAnsiTheme="minorHAnsi" w:cstheme="minorHAnsi"/>
          <w:i/>
        </w:rPr>
      </w:pPr>
      <w:bookmarkStart w:id="0" w:name="_Ref365035435"/>
      <w:r w:rsidRPr="00B612BA">
        <w:rPr>
          <w:rFonts w:asciiTheme="minorHAnsi" w:hAnsiTheme="minorHAnsi" w:cstheme="minorHAnsi"/>
          <w:i/>
        </w:rPr>
        <w:t>“Subject to Clauses 21.2 to 21.5, neither Party shall have any right to use any of the other Party's names, logos or trademarks on any of its products or services without the other Party's prior written consent”.</w:t>
      </w:r>
      <w:bookmarkEnd w:id="0"/>
      <w:r w:rsidRPr="00B612BA">
        <w:rPr>
          <w:rFonts w:asciiTheme="minorHAnsi" w:hAnsiTheme="minorHAnsi" w:cstheme="minorHAnsi"/>
          <w:i/>
        </w:rPr>
        <w:t xml:space="preserve"> </w:t>
      </w:r>
    </w:p>
    <w:p w:rsidR="00050280" w:rsidRPr="00B612BA" w:rsidRDefault="00050280" w:rsidP="00050280">
      <w:pPr>
        <w:pStyle w:val="ListParagraph"/>
        <w:rPr>
          <w:rFonts w:asciiTheme="minorHAnsi" w:hAnsiTheme="minorHAnsi" w:cstheme="minorHAnsi"/>
          <w:sz w:val="22"/>
        </w:rPr>
      </w:pPr>
    </w:p>
    <w:p w:rsidR="00980793" w:rsidRPr="00B612BA" w:rsidRDefault="00980793" w:rsidP="00980793">
      <w:pPr>
        <w:pStyle w:val="ListParagraph"/>
        <w:numPr>
          <w:ilvl w:val="0"/>
          <w:numId w:val="2"/>
        </w:numPr>
        <w:ind w:hanging="720"/>
        <w:rPr>
          <w:rFonts w:asciiTheme="minorHAnsi" w:hAnsiTheme="minorHAnsi" w:cstheme="minorHAnsi"/>
          <w:sz w:val="22"/>
        </w:rPr>
      </w:pPr>
      <w:r w:rsidRPr="00B612BA">
        <w:rPr>
          <w:rFonts w:asciiTheme="minorHAnsi" w:hAnsiTheme="minorHAnsi" w:cstheme="minorHAnsi"/>
          <w:sz w:val="22"/>
        </w:rPr>
        <w:t xml:space="preserve">The definition of Open Book is extended as highlighted in </w:t>
      </w:r>
      <w:r w:rsidR="00050280" w:rsidRPr="00B612BA">
        <w:rPr>
          <w:rFonts w:asciiTheme="minorHAnsi" w:hAnsiTheme="minorHAnsi" w:cstheme="minorHAnsi"/>
          <w:sz w:val="22"/>
        </w:rPr>
        <w:t>red</w:t>
      </w:r>
      <w:r w:rsidRPr="00B612BA">
        <w:rPr>
          <w:rFonts w:asciiTheme="minorHAnsi" w:hAnsiTheme="minorHAnsi" w:cstheme="minorHAnsi"/>
          <w:sz w:val="22"/>
        </w:rPr>
        <w:t xml:space="preserve"> below</w:t>
      </w:r>
      <w:r w:rsidR="00050280" w:rsidRPr="00B612BA">
        <w:rPr>
          <w:rFonts w:asciiTheme="minorHAnsi" w:hAnsiTheme="minorHAnsi" w:cstheme="minorHAnsi"/>
          <w:sz w:val="22"/>
        </w:rPr>
        <w:t>:</w:t>
      </w:r>
    </w:p>
    <w:tbl>
      <w:tblPr>
        <w:tblW w:w="8570" w:type="dxa"/>
        <w:tblInd w:w="675" w:type="dxa"/>
        <w:tblLayout w:type="fixed"/>
        <w:tblLook w:val="04A0" w:firstRow="1" w:lastRow="0" w:firstColumn="1" w:lastColumn="0" w:noHBand="0" w:noVBand="1"/>
      </w:tblPr>
      <w:tblGrid>
        <w:gridCol w:w="2410"/>
        <w:gridCol w:w="6160"/>
      </w:tblGrid>
      <w:tr w:rsidR="00980793" w:rsidRPr="00B612BA" w:rsidTr="00050280">
        <w:tc>
          <w:tcPr>
            <w:tcW w:w="2410" w:type="dxa"/>
            <w:shd w:val="clear" w:color="auto" w:fill="auto"/>
          </w:tcPr>
          <w:p w:rsidR="00980793" w:rsidRPr="00B612BA" w:rsidRDefault="00980793" w:rsidP="00050280">
            <w:pPr>
              <w:pStyle w:val="GPsDefinition"/>
              <w:rPr>
                <w:rFonts w:asciiTheme="minorHAnsi" w:hAnsiTheme="minorHAnsi" w:cstheme="minorHAnsi"/>
              </w:rPr>
            </w:pPr>
            <w:r w:rsidRPr="00B612BA">
              <w:rPr>
                <w:rFonts w:asciiTheme="minorHAnsi" w:hAnsiTheme="minorHAnsi" w:cstheme="minorHAnsi"/>
              </w:rPr>
              <w:t>"Open Book Data"</w:t>
            </w:r>
          </w:p>
        </w:tc>
        <w:tc>
          <w:tcPr>
            <w:tcW w:w="6160" w:type="dxa"/>
            <w:shd w:val="clear" w:color="auto" w:fill="auto"/>
          </w:tcPr>
          <w:p w:rsidR="00B77D6E" w:rsidRPr="00B77D6E" w:rsidRDefault="00050280" w:rsidP="00B77D6E">
            <w:pPr>
              <w:pStyle w:val="GPsDefinition"/>
              <w:rPr>
                <w:rFonts w:asciiTheme="minorHAnsi" w:hAnsiTheme="minorHAnsi" w:cstheme="minorHAnsi"/>
              </w:rPr>
            </w:pPr>
            <w:r w:rsidRPr="00B612BA">
              <w:rPr>
                <w:rFonts w:asciiTheme="minorHAnsi" w:hAnsiTheme="minorHAnsi" w:cstheme="minorHAnsi"/>
              </w:rPr>
              <w:t>means complete and accurate financial and non-financial information which is suf</w:t>
            </w:r>
            <w:r w:rsidR="00B77D6E">
              <w:rPr>
                <w:rFonts w:asciiTheme="minorHAnsi" w:hAnsiTheme="minorHAnsi" w:cstheme="minorHAnsi"/>
              </w:rPr>
              <w:t>ficient to enable DH to verify:</w:t>
            </w:r>
          </w:p>
          <w:p w:rsidR="00050280" w:rsidRPr="00B612BA" w:rsidRDefault="00B77D6E" w:rsidP="00050280">
            <w:pPr>
              <w:pStyle w:val="GPsDefinition"/>
              <w:numPr>
                <w:ilvl w:val="0"/>
                <w:numId w:val="3"/>
              </w:numPr>
              <w:tabs>
                <w:tab w:val="clear" w:pos="175"/>
                <w:tab w:val="left" w:pos="567"/>
              </w:tabs>
              <w:ind w:left="567" w:hanging="567"/>
              <w:rPr>
                <w:rFonts w:asciiTheme="minorHAnsi" w:hAnsiTheme="minorHAnsi" w:cstheme="minorHAnsi"/>
                <w:color w:val="FF0000"/>
              </w:rPr>
            </w:pPr>
            <w:r>
              <w:rPr>
                <w:rFonts w:asciiTheme="minorHAnsi" w:hAnsiTheme="minorHAnsi" w:cstheme="minorHAnsi"/>
                <w:color w:val="FF0000"/>
              </w:rPr>
              <w:t>the suitability of the</w:t>
            </w:r>
            <w:r>
              <w:rPr>
                <w:rFonts w:asciiTheme="minorHAnsi" w:hAnsiTheme="minorHAnsi" w:cstheme="minorHAnsi"/>
                <w:color w:val="0070C0"/>
              </w:rPr>
              <w:t xml:space="preserve"> </w:t>
            </w:r>
            <w:r w:rsidRPr="00B77D6E">
              <w:rPr>
                <w:rFonts w:asciiTheme="minorHAnsi" w:hAnsiTheme="minorHAnsi" w:cstheme="minorHAnsi"/>
                <w:color w:val="FF0000"/>
              </w:rPr>
              <w:t xml:space="preserve">management and </w:t>
            </w:r>
            <w:r>
              <w:rPr>
                <w:rFonts w:asciiTheme="minorHAnsi" w:hAnsiTheme="minorHAnsi" w:cstheme="minorHAnsi"/>
                <w:color w:val="FF0000"/>
              </w:rPr>
              <w:t>delivery processes the PSCP and its Supply Chain use</w:t>
            </w:r>
            <w:r w:rsidR="00050280" w:rsidRPr="00B612BA">
              <w:rPr>
                <w:rFonts w:asciiTheme="minorHAnsi" w:hAnsiTheme="minorHAnsi" w:cstheme="minorHAnsi"/>
                <w:color w:val="FF0000"/>
              </w:rPr>
              <w:t>;</w:t>
            </w:r>
          </w:p>
          <w:p w:rsidR="00050280" w:rsidRPr="00B612BA" w:rsidRDefault="00050280" w:rsidP="00050280">
            <w:pPr>
              <w:pStyle w:val="GPsDefinition"/>
              <w:numPr>
                <w:ilvl w:val="0"/>
                <w:numId w:val="3"/>
              </w:numPr>
              <w:tabs>
                <w:tab w:val="clear" w:pos="175"/>
                <w:tab w:val="left" w:pos="567"/>
              </w:tabs>
              <w:ind w:left="567" w:hanging="567"/>
              <w:rPr>
                <w:rFonts w:asciiTheme="minorHAnsi" w:hAnsiTheme="minorHAnsi" w:cstheme="minorHAnsi"/>
                <w:color w:val="FF0000"/>
              </w:rPr>
            </w:pPr>
            <w:r w:rsidRPr="00B612BA">
              <w:rPr>
                <w:rFonts w:asciiTheme="minorHAnsi" w:hAnsiTheme="minorHAnsi" w:cstheme="minorHAnsi"/>
                <w:color w:val="FF0000"/>
              </w:rPr>
              <w:t xml:space="preserve">the use of best practice in carrying out the Works/Services by the PSCP and its Supply Chain; and </w:t>
            </w:r>
          </w:p>
          <w:p w:rsidR="00050280" w:rsidRPr="00B612BA" w:rsidRDefault="00050280" w:rsidP="00050280">
            <w:pPr>
              <w:pStyle w:val="GPsDefinition"/>
              <w:numPr>
                <w:ilvl w:val="0"/>
                <w:numId w:val="3"/>
              </w:numPr>
              <w:tabs>
                <w:tab w:val="clear" w:pos="175"/>
                <w:tab w:val="left" w:pos="567"/>
              </w:tabs>
              <w:ind w:left="567" w:hanging="567"/>
              <w:rPr>
                <w:rFonts w:asciiTheme="minorHAnsi" w:hAnsiTheme="minorHAnsi" w:cstheme="minorHAnsi"/>
              </w:rPr>
            </w:pPr>
            <w:r w:rsidRPr="00B612BA">
              <w:rPr>
                <w:rFonts w:asciiTheme="minorHAnsi" w:hAnsiTheme="minorHAnsi" w:cstheme="minorHAnsi"/>
              </w:rPr>
              <w:t>the Charges already paid or payable and Charges forecast to be paid during the Framework Period and term of any Scheme Agreements, including details and all assumptions relating to:</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the PSCP’s Costs broken down against each Good and/or Service and/or deliverable, including actual capital expenditure (including capital replacement costs) and the unit cost and total actual costs of all Works and/or services;</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operating expenditure relating to the provision of the Works and/or Services including an analysis showing:</w:t>
            </w:r>
          </w:p>
          <w:p w:rsidR="00050280" w:rsidRPr="00B612BA" w:rsidRDefault="00050280" w:rsidP="00050280">
            <w:pPr>
              <w:pStyle w:val="GPSDefinitionL3"/>
              <w:ind w:left="1418" w:hanging="284"/>
              <w:rPr>
                <w:rFonts w:asciiTheme="minorHAnsi" w:hAnsiTheme="minorHAnsi" w:cstheme="minorHAnsi"/>
              </w:rPr>
            </w:pPr>
            <w:r w:rsidRPr="00B612BA">
              <w:rPr>
                <w:rFonts w:asciiTheme="minorHAnsi" w:hAnsiTheme="minorHAnsi" w:cstheme="minorHAnsi"/>
              </w:rPr>
              <w:t>the unit costs and quantity of Works and any other consumables and bought-in Works and services;</w:t>
            </w:r>
          </w:p>
          <w:p w:rsidR="00050280" w:rsidRPr="00B612BA" w:rsidRDefault="00050280" w:rsidP="00050280">
            <w:pPr>
              <w:pStyle w:val="GPSDefinitionL3"/>
              <w:ind w:left="1418" w:hanging="284"/>
              <w:rPr>
                <w:rFonts w:asciiTheme="minorHAnsi" w:hAnsiTheme="minorHAnsi" w:cstheme="minorHAnsi"/>
              </w:rPr>
            </w:pPr>
            <w:r w:rsidRPr="00B612BA">
              <w:rPr>
                <w:rFonts w:asciiTheme="minorHAnsi" w:hAnsiTheme="minorHAnsi" w:cstheme="minorHAnsi"/>
              </w:rPr>
              <w:t>manpower resources broken down into the number and grade/role of all PSCP Personnel (free of any contingency) together with a list of agreed rates against each manpower grade;</w:t>
            </w:r>
          </w:p>
          <w:p w:rsidR="00050280" w:rsidRPr="00B612BA" w:rsidRDefault="00050280" w:rsidP="00050280">
            <w:pPr>
              <w:pStyle w:val="GPSDefinitionL3"/>
              <w:ind w:left="1418" w:hanging="284"/>
              <w:rPr>
                <w:rFonts w:asciiTheme="minorHAnsi" w:hAnsiTheme="minorHAnsi" w:cstheme="minorHAnsi"/>
              </w:rPr>
            </w:pPr>
            <w:r w:rsidRPr="00B612BA">
              <w:rPr>
                <w:rFonts w:asciiTheme="minorHAnsi" w:hAnsiTheme="minorHAnsi" w:cstheme="minorHAnsi"/>
              </w:rPr>
              <w:t>a list of Costs underpinning those rates for each manpower grade, being the agreed rate less the PSCP Profit Margin; and</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 xml:space="preserve">overheads; </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all interest, expenses and any other third party financing costs incurred in relation to the provision of the Services;</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 xml:space="preserve">the PSCP Profit achieved over the Framework Period </w:t>
            </w:r>
            <w:r w:rsidRPr="00B612BA">
              <w:rPr>
                <w:rFonts w:asciiTheme="minorHAnsi" w:hAnsiTheme="minorHAnsi" w:cstheme="minorHAnsi"/>
              </w:rPr>
              <w:lastRenderedPageBreak/>
              <w:t>and term of any Scheme Agreements and on an annual basis;</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confirmation that all methods of Cost apportionment and overhead allocation are consistent with and not more onerous than such methods applied generally by the PSCP;</w:t>
            </w:r>
          </w:p>
          <w:p w:rsidR="00050280" w:rsidRPr="00B612BA" w:rsidRDefault="00050280" w:rsidP="00050280">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an explanation of the type and value of risk and contingencies associated with the provision of the Works and/or Services, including the amount of money attributed to each risk and/or contingency; and</w:t>
            </w:r>
          </w:p>
          <w:p w:rsidR="00980793" w:rsidRPr="00B612BA" w:rsidRDefault="00050280" w:rsidP="00B612BA">
            <w:pPr>
              <w:pStyle w:val="GPSDefinitionL2"/>
              <w:numPr>
                <w:ilvl w:val="0"/>
                <w:numId w:val="4"/>
              </w:numPr>
              <w:ind w:left="1134" w:hanging="567"/>
              <w:rPr>
                <w:rFonts w:asciiTheme="minorHAnsi" w:hAnsiTheme="minorHAnsi" w:cstheme="minorHAnsi"/>
              </w:rPr>
            </w:pPr>
            <w:r w:rsidRPr="00B612BA">
              <w:rPr>
                <w:rFonts w:asciiTheme="minorHAnsi" w:hAnsiTheme="minorHAnsi" w:cstheme="minorHAnsi"/>
              </w:rPr>
              <w:t>the actual Costs profile for each Service Period under any Scheme Agreements;</w:t>
            </w:r>
          </w:p>
        </w:tc>
      </w:tr>
    </w:tbl>
    <w:p w:rsidR="00980793" w:rsidRPr="00B612BA" w:rsidRDefault="00980793" w:rsidP="00980793">
      <w:pPr>
        <w:pStyle w:val="ListParagraph"/>
        <w:rPr>
          <w:rFonts w:asciiTheme="minorHAnsi" w:hAnsiTheme="minorHAnsi" w:cstheme="minorHAnsi"/>
          <w:sz w:val="22"/>
        </w:rPr>
      </w:pPr>
    </w:p>
    <w:p w:rsidR="00B35A78" w:rsidRDefault="00B35A78" w:rsidP="00B612BA">
      <w:pPr>
        <w:pStyle w:val="ListParagraph"/>
        <w:numPr>
          <w:ilvl w:val="0"/>
          <w:numId w:val="2"/>
        </w:numPr>
        <w:ind w:left="567" w:hanging="567"/>
        <w:rPr>
          <w:rFonts w:asciiTheme="minorHAnsi" w:hAnsiTheme="minorHAnsi" w:cstheme="minorHAnsi"/>
          <w:sz w:val="22"/>
        </w:rPr>
      </w:pPr>
      <w:r>
        <w:rPr>
          <w:rFonts w:asciiTheme="minorHAnsi" w:hAnsiTheme="minorHAnsi" w:cstheme="minorHAnsi"/>
          <w:sz w:val="22"/>
        </w:rPr>
        <w:t>Paragraph 7.2 of Framework Schedule 14 - the missing figure is £100,000</w:t>
      </w:r>
    </w:p>
    <w:p w:rsidR="00B35A78" w:rsidRPr="00B35A78" w:rsidRDefault="00B35A78" w:rsidP="00B35A78">
      <w:pPr>
        <w:pStyle w:val="ListParagraph"/>
        <w:rPr>
          <w:rFonts w:cs="Arial"/>
          <w:sz w:val="20"/>
          <w:szCs w:val="20"/>
        </w:rPr>
      </w:pPr>
    </w:p>
    <w:p w:rsidR="002A52EB" w:rsidRPr="00B612BA" w:rsidRDefault="00B612BA" w:rsidP="00B612BA">
      <w:pPr>
        <w:pStyle w:val="ListParagraph"/>
        <w:numPr>
          <w:ilvl w:val="0"/>
          <w:numId w:val="2"/>
        </w:numPr>
        <w:ind w:left="567" w:hanging="567"/>
        <w:rPr>
          <w:rFonts w:asciiTheme="minorHAnsi" w:hAnsiTheme="minorHAnsi" w:cstheme="minorHAnsi"/>
          <w:sz w:val="22"/>
        </w:rPr>
      </w:pPr>
      <w:r w:rsidRPr="00B612BA">
        <w:rPr>
          <w:rFonts w:asciiTheme="minorHAnsi" w:hAnsiTheme="minorHAnsi" w:cstheme="minorHAnsi"/>
          <w:sz w:val="22"/>
        </w:rPr>
        <w:t>A new paragraph 8 is added to Framework Schedule 14 as follows</w:t>
      </w:r>
    </w:p>
    <w:p w:rsidR="00B612BA" w:rsidRPr="00B612BA" w:rsidRDefault="00B612BA" w:rsidP="00B612BA">
      <w:pPr>
        <w:numPr>
          <w:ilvl w:val="0"/>
          <w:numId w:val="8"/>
        </w:numPr>
        <w:overflowPunct w:val="0"/>
        <w:autoSpaceDE w:val="0"/>
        <w:autoSpaceDN w:val="0"/>
        <w:adjustRightInd w:val="0"/>
        <w:spacing w:after="240" w:line="240" w:lineRule="auto"/>
        <w:ind w:left="567" w:hanging="567"/>
        <w:jc w:val="both"/>
        <w:textAlignment w:val="baseline"/>
        <w:rPr>
          <w:rFonts w:asciiTheme="minorHAnsi" w:hAnsiTheme="minorHAnsi" w:cstheme="minorHAnsi"/>
          <w:i/>
          <w:sz w:val="22"/>
        </w:rPr>
      </w:pPr>
      <w:r w:rsidRPr="00B612BA">
        <w:rPr>
          <w:rFonts w:asciiTheme="minorHAnsi" w:hAnsiTheme="minorHAnsi" w:cstheme="minorHAnsi"/>
          <w:b/>
          <w:i/>
          <w:sz w:val="22"/>
        </w:rPr>
        <w:t>“Costs of Insurance</w:t>
      </w:r>
    </w:p>
    <w:p w:rsidR="00B612BA" w:rsidRPr="00B612BA" w:rsidRDefault="00B612BA" w:rsidP="00B612BA">
      <w:pPr>
        <w:numPr>
          <w:ilvl w:val="1"/>
          <w:numId w:val="8"/>
        </w:numPr>
        <w:overflowPunct w:val="0"/>
        <w:autoSpaceDE w:val="0"/>
        <w:autoSpaceDN w:val="0"/>
        <w:adjustRightInd w:val="0"/>
        <w:spacing w:after="240" w:line="240" w:lineRule="auto"/>
        <w:ind w:left="567" w:hanging="567"/>
        <w:jc w:val="both"/>
        <w:textAlignment w:val="baseline"/>
        <w:rPr>
          <w:rFonts w:asciiTheme="minorHAnsi" w:hAnsiTheme="minorHAnsi" w:cstheme="minorHAnsi"/>
          <w:i/>
          <w:sz w:val="22"/>
        </w:rPr>
      </w:pPr>
      <w:r w:rsidRPr="00B612BA">
        <w:rPr>
          <w:rFonts w:asciiTheme="minorHAnsi" w:hAnsiTheme="minorHAnsi" w:cstheme="minorHAnsi"/>
          <w:i/>
          <w:sz w:val="22"/>
        </w:rPr>
        <w:t xml:space="preserve">The Insurance Premiums shall be deemed to have been included in the fees set out in Framework Schedule 3 (Framework Pricing Document). Subject to paragraph 8.2 below, DH shall not allow the PSCP any adjustment to the fees set out in Framework Schedule 3 in respect of increases or reductions in the Insurance Premiums over the Framework Period. </w:t>
      </w:r>
    </w:p>
    <w:p w:rsidR="00B612BA" w:rsidRPr="00B612BA" w:rsidRDefault="00B612BA" w:rsidP="00B612BA">
      <w:pPr>
        <w:numPr>
          <w:ilvl w:val="1"/>
          <w:numId w:val="8"/>
        </w:numPr>
        <w:overflowPunct w:val="0"/>
        <w:autoSpaceDE w:val="0"/>
        <w:autoSpaceDN w:val="0"/>
        <w:adjustRightInd w:val="0"/>
        <w:spacing w:after="240" w:line="240" w:lineRule="auto"/>
        <w:ind w:left="567" w:hanging="567"/>
        <w:jc w:val="both"/>
        <w:textAlignment w:val="baseline"/>
        <w:rPr>
          <w:rFonts w:asciiTheme="minorHAnsi" w:hAnsiTheme="minorHAnsi" w:cstheme="minorHAnsi"/>
          <w:i/>
          <w:sz w:val="22"/>
        </w:rPr>
      </w:pPr>
      <w:r w:rsidRPr="00B612BA">
        <w:rPr>
          <w:rFonts w:asciiTheme="minorHAnsi" w:hAnsiTheme="minorHAnsi" w:cstheme="minorHAnsi"/>
          <w:i/>
          <w:sz w:val="22"/>
        </w:rPr>
        <w:t>If at the renewal date of the Insurances:</w:t>
      </w:r>
    </w:p>
    <w:p w:rsidR="00B612BA" w:rsidRPr="00B612BA" w:rsidRDefault="00B612BA" w:rsidP="00B612BA">
      <w:pPr>
        <w:numPr>
          <w:ilvl w:val="2"/>
          <w:numId w:val="8"/>
        </w:numPr>
        <w:overflowPunct w:val="0"/>
        <w:autoSpaceDE w:val="0"/>
        <w:autoSpaceDN w:val="0"/>
        <w:adjustRightInd w:val="0"/>
        <w:spacing w:after="240" w:line="240" w:lineRule="auto"/>
        <w:ind w:left="1418" w:hanging="851"/>
        <w:jc w:val="both"/>
        <w:textAlignment w:val="baseline"/>
        <w:rPr>
          <w:rFonts w:asciiTheme="minorHAnsi" w:hAnsiTheme="minorHAnsi" w:cstheme="minorHAnsi"/>
          <w:i/>
          <w:sz w:val="22"/>
        </w:rPr>
      </w:pPr>
      <w:r w:rsidRPr="00B612BA">
        <w:rPr>
          <w:rFonts w:asciiTheme="minorHAnsi" w:hAnsiTheme="minorHAnsi" w:cstheme="minorHAnsi"/>
          <w:i/>
          <w:sz w:val="22"/>
        </w:rPr>
        <w:t xml:space="preserve">the Insurance Premiums are subject to an increase or decrease; </w:t>
      </w:r>
    </w:p>
    <w:p w:rsidR="00B612BA" w:rsidRPr="00B612BA" w:rsidRDefault="00B612BA" w:rsidP="00B612BA">
      <w:pPr>
        <w:numPr>
          <w:ilvl w:val="2"/>
          <w:numId w:val="8"/>
        </w:numPr>
        <w:overflowPunct w:val="0"/>
        <w:autoSpaceDE w:val="0"/>
        <w:autoSpaceDN w:val="0"/>
        <w:adjustRightInd w:val="0"/>
        <w:spacing w:after="240" w:line="240" w:lineRule="auto"/>
        <w:ind w:left="1418" w:hanging="851"/>
        <w:jc w:val="both"/>
        <w:textAlignment w:val="baseline"/>
        <w:rPr>
          <w:rFonts w:asciiTheme="minorHAnsi" w:hAnsiTheme="minorHAnsi" w:cstheme="minorHAnsi"/>
          <w:i/>
          <w:sz w:val="22"/>
        </w:rPr>
      </w:pPr>
      <w:r w:rsidRPr="00B612BA">
        <w:rPr>
          <w:rFonts w:asciiTheme="minorHAnsi" w:hAnsiTheme="minorHAnsi" w:cstheme="minorHAnsi"/>
          <w:i/>
          <w:sz w:val="22"/>
        </w:rPr>
        <w:t>such an increase or decrease is solely attributable to open market forces causing an increase or a decrease in the costs of providing insurances which are equivalent to the Insurances to a reasonable contractor providing works/services which are equivalent to the Works/Services; and</w:t>
      </w:r>
    </w:p>
    <w:p w:rsidR="00B612BA" w:rsidRPr="00B612BA" w:rsidRDefault="00B612BA" w:rsidP="00B612BA">
      <w:pPr>
        <w:numPr>
          <w:ilvl w:val="2"/>
          <w:numId w:val="8"/>
        </w:numPr>
        <w:overflowPunct w:val="0"/>
        <w:autoSpaceDE w:val="0"/>
        <w:autoSpaceDN w:val="0"/>
        <w:adjustRightInd w:val="0"/>
        <w:spacing w:after="240" w:line="240" w:lineRule="auto"/>
        <w:ind w:left="1418" w:hanging="851"/>
        <w:jc w:val="both"/>
        <w:textAlignment w:val="baseline"/>
        <w:rPr>
          <w:rFonts w:asciiTheme="minorHAnsi" w:hAnsiTheme="minorHAnsi" w:cstheme="minorHAnsi"/>
          <w:i/>
          <w:sz w:val="22"/>
        </w:rPr>
      </w:pPr>
      <w:r w:rsidRPr="00B612BA">
        <w:rPr>
          <w:rFonts w:asciiTheme="minorHAnsi" w:hAnsiTheme="minorHAnsi" w:cstheme="minorHAnsi"/>
          <w:i/>
          <w:sz w:val="22"/>
        </w:rPr>
        <w:t>Provided that the PSCP is able to demonstrate to DH’s satisfaction that the conditions in paragraphs 8.2.1 and 8.2.3 are met</w:t>
      </w:r>
    </w:p>
    <w:p w:rsidR="00B612BA" w:rsidRPr="00B612BA" w:rsidRDefault="00B612BA" w:rsidP="00B612BA">
      <w:pPr>
        <w:ind w:left="567"/>
        <w:rPr>
          <w:rFonts w:asciiTheme="minorHAnsi" w:hAnsiTheme="minorHAnsi" w:cstheme="minorHAnsi"/>
          <w:i/>
          <w:sz w:val="22"/>
        </w:rPr>
      </w:pPr>
      <w:r w:rsidRPr="00B612BA">
        <w:rPr>
          <w:rFonts w:asciiTheme="minorHAnsi" w:hAnsiTheme="minorHAnsi" w:cstheme="minorHAnsi"/>
          <w:i/>
          <w:sz w:val="22"/>
        </w:rPr>
        <w:t xml:space="preserve">DH may in its absolute discretion allow the PSCP to adjust the fees set out in Framework Schedule 3 which represent the Insurance Premiums”.  </w:t>
      </w:r>
    </w:p>
    <w:p w:rsidR="00B612BA" w:rsidRPr="00B612BA" w:rsidRDefault="00B612BA" w:rsidP="00B612BA">
      <w:pPr>
        <w:pStyle w:val="ListParagraph"/>
        <w:numPr>
          <w:ilvl w:val="0"/>
          <w:numId w:val="2"/>
        </w:numPr>
        <w:ind w:left="567" w:hanging="567"/>
        <w:rPr>
          <w:rFonts w:asciiTheme="minorHAnsi" w:hAnsiTheme="minorHAnsi" w:cstheme="minorHAnsi"/>
          <w:sz w:val="22"/>
        </w:rPr>
      </w:pPr>
      <w:r w:rsidRPr="00B612BA">
        <w:rPr>
          <w:rFonts w:asciiTheme="minorHAnsi" w:hAnsiTheme="minorHAnsi" w:cstheme="minorHAnsi"/>
          <w:b/>
          <w:sz w:val="22"/>
        </w:rPr>
        <w:t>New definitions</w:t>
      </w:r>
    </w:p>
    <w:p w:rsidR="00B612BA" w:rsidRPr="00B612BA" w:rsidRDefault="00B612BA" w:rsidP="00B612BA">
      <w:pPr>
        <w:pStyle w:val="ListParagraph"/>
        <w:ind w:left="567"/>
        <w:rPr>
          <w:rFonts w:asciiTheme="minorHAnsi" w:hAnsiTheme="minorHAnsi" w:cstheme="minorHAnsi"/>
          <w:sz w:val="22"/>
        </w:rPr>
      </w:pPr>
    </w:p>
    <w:p w:rsidR="00B612BA" w:rsidRPr="00B612BA" w:rsidRDefault="00B612BA" w:rsidP="00B612BA">
      <w:pPr>
        <w:pStyle w:val="ListParagraph"/>
        <w:ind w:left="567"/>
        <w:rPr>
          <w:rFonts w:asciiTheme="minorHAnsi" w:hAnsiTheme="minorHAnsi" w:cstheme="minorHAnsi"/>
          <w:sz w:val="22"/>
        </w:rPr>
      </w:pPr>
      <w:r w:rsidRPr="00B612BA">
        <w:rPr>
          <w:rFonts w:asciiTheme="minorHAnsi" w:hAnsiTheme="minorHAnsi" w:cstheme="minorHAnsi"/>
          <w:sz w:val="22"/>
        </w:rPr>
        <w:t xml:space="preserve">A new </w:t>
      </w:r>
      <w:r>
        <w:rPr>
          <w:rFonts w:asciiTheme="minorHAnsi" w:hAnsiTheme="minorHAnsi" w:cstheme="minorHAnsi"/>
          <w:sz w:val="22"/>
        </w:rPr>
        <w:t>definition is added as follows</w:t>
      </w:r>
    </w:p>
    <w:p w:rsidR="00B612BA" w:rsidRDefault="00B612BA" w:rsidP="00B35A78">
      <w:pPr>
        <w:ind w:left="567"/>
        <w:rPr>
          <w:rFonts w:asciiTheme="minorHAnsi" w:hAnsiTheme="minorHAnsi" w:cstheme="minorHAnsi"/>
          <w:i/>
          <w:sz w:val="22"/>
        </w:rPr>
      </w:pPr>
      <w:r w:rsidRPr="00B612BA">
        <w:rPr>
          <w:rFonts w:asciiTheme="minorHAnsi" w:hAnsiTheme="minorHAnsi" w:cstheme="minorHAnsi"/>
          <w:b/>
          <w:sz w:val="22"/>
        </w:rPr>
        <w:t>“</w:t>
      </w:r>
      <w:r w:rsidRPr="00B612BA">
        <w:rPr>
          <w:rFonts w:asciiTheme="minorHAnsi" w:hAnsiTheme="minorHAnsi" w:cstheme="minorHAnsi"/>
          <w:b/>
          <w:i/>
          <w:sz w:val="22"/>
        </w:rPr>
        <w:t>Insurance Premiums”</w:t>
      </w:r>
      <w:r w:rsidRPr="00B612BA">
        <w:rPr>
          <w:rFonts w:asciiTheme="minorHAnsi" w:hAnsiTheme="minorHAnsi" w:cstheme="minorHAnsi"/>
          <w:i/>
          <w:sz w:val="22"/>
        </w:rPr>
        <w:t xml:space="preserve"> means the costs of the insurances the PSCP is required to pay in order to purchase the insurances set out in the Insurance Matrix and in order to comply with its obligations under this Framework Schedule 14</w:t>
      </w:r>
      <w:r>
        <w:rPr>
          <w:rFonts w:asciiTheme="minorHAnsi" w:hAnsiTheme="minorHAnsi" w:cstheme="minorHAnsi"/>
          <w:i/>
          <w:sz w:val="22"/>
        </w:rPr>
        <w:t>”</w:t>
      </w:r>
    </w:p>
    <w:p w:rsidR="00B35A78" w:rsidRPr="00B612BA" w:rsidRDefault="00B35A78" w:rsidP="00B35A78">
      <w:pPr>
        <w:pStyle w:val="ListParagraph"/>
        <w:ind w:left="567"/>
        <w:rPr>
          <w:rFonts w:asciiTheme="minorHAnsi" w:hAnsiTheme="minorHAnsi" w:cstheme="minorHAnsi"/>
          <w:sz w:val="22"/>
        </w:rPr>
      </w:pPr>
      <w:r w:rsidRPr="00B612BA">
        <w:rPr>
          <w:rFonts w:asciiTheme="minorHAnsi" w:hAnsiTheme="minorHAnsi" w:cstheme="minorHAnsi"/>
          <w:sz w:val="22"/>
        </w:rPr>
        <w:t xml:space="preserve">A new </w:t>
      </w:r>
      <w:r>
        <w:rPr>
          <w:rFonts w:asciiTheme="minorHAnsi" w:hAnsiTheme="minorHAnsi" w:cstheme="minorHAnsi"/>
          <w:sz w:val="22"/>
        </w:rPr>
        <w:t>definition is added as follows</w:t>
      </w:r>
    </w:p>
    <w:p w:rsidR="00A723CB" w:rsidRDefault="00B35A78" w:rsidP="00A723CB">
      <w:pPr>
        <w:rPr>
          <w:rFonts w:cs="Arial"/>
          <w:color w:val="1F497D"/>
          <w:sz w:val="22"/>
        </w:rPr>
      </w:pPr>
      <w:r w:rsidRPr="00B35A78">
        <w:rPr>
          <w:rFonts w:asciiTheme="minorHAnsi" w:hAnsiTheme="minorHAnsi" w:cstheme="minorHAnsi"/>
          <w:b/>
          <w:i/>
          <w:sz w:val="22"/>
        </w:rPr>
        <w:lastRenderedPageBreak/>
        <w:t>“Repeatable Rooms”</w:t>
      </w:r>
      <w:r>
        <w:rPr>
          <w:rFonts w:asciiTheme="minorHAnsi" w:hAnsiTheme="minorHAnsi" w:cstheme="minorHAnsi"/>
          <w:i/>
          <w:sz w:val="22"/>
        </w:rPr>
        <w:t xml:space="preserve"> means</w:t>
      </w:r>
      <w:r w:rsidR="00A723CB">
        <w:rPr>
          <w:rFonts w:cs="Arial"/>
          <w:color w:val="1F497D"/>
          <w:sz w:val="22"/>
        </w:rPr>
        <w:t xml:space="preserve"> </w:t>
      </w:r>
      <w:r w:rsidR="00A723CB" w:rsidRPr="00A723CB">
        <w:rPr>
          <w:rFonts w:asciiTheme="minorHAnsi" w:hAnsiTheme="minorHAnsi" w:cstheme="minorHAnsi"/>
          <w:i/>
          <w:sz w:val="22"/>
        </w:rPr>
        <w:t>the room designs described under the cost reduction programme described in Framework Schedule 6 (ii) Principles and Implementation of P22 ‘</w:t>
      </w:r>
      <w:proofErr w:type="spellStart"/>
      <w:r w:rsidR="00A723CB" w:rsidRPr="00A723CB">
        <w:rPr>
          <w:rFonts w:asciiTheme="minorHAnsi" w:hAnsiTheme="minorHAnsi" w:cstheme="minorHAnsi"/>
          <w:i/>
          <w:sz w:val="22"/>
        </w:rPr>
        <w:t>StandardShare</w:t>
      </w:r>
      <w:proofErr w:type="spellEnd"/>
      <w:r w:rsidR="00A723CB" w:rsidRPr="00A723CB">
        <w:rPr>
          <w:rFonts w:asciiTheme="minorHAnsi" w:hAnsiTheme="minorHAnsi" w:cstheme="minorHAnsi"/>
          <w:i/>
          <w:sz w:val="22"/>
        </w:rPr>
        <w:t xml:space="preserve">’ </w:t>
      </w:r>
      <w:r w:rsidR="00A723CB">
        <w:rPr>
          <w:rFonts w:asciiTheme="minorHAnsi" w:hAnsiTheme="minorHAnsi" w:cstheme="minorHAnsi"/>
          <w:i/>
          <w:sz w:val="22"/>
        </w:rPr>
        <w:t xml:space="preserve">for use under Scheme Agreements and works carried out by Other Clients on </w:t>
      </w:r>
      <w:bookmarkStart w:id="1" w:name="_GoBack"/>
      <w:bookmarkEnd w:id="1"/>
      <w:r w:rsidR="00A723CB">
        <w:rPr>
          <w:rFonts w:asciiTheme="minorHAnsi" w:hAnsiTheme="minorHAnsi" w:cstheme="minorHAnsi"/>
          <w:i/>
          <w:sz w:val="22"/>
        </w:rPr>
        <w:t>projects outside the scope of Procure 22</w:t>
      </w:r>
      <w:r w:rsidR="00A723CB" w:rsidRPr="00A723CB">
        <w:rPr>
          <w:rFonts w:asciiTheme="minorHAnsi" w:hAnsiTheme="minorHAnsi" w:cstheme="minorHAnsi"/>
          <w:i/>
          <w:sz w:val="22"/>
        </w:rPr>
        <w:t>.</w:t>
      </w:r>
    </w:p>
    <w:p w:rsidR="00B35A78" w:rsidRDefault="00B35A78" w:rsidP="00B35A78">
      <w:pPr>
        <w:ind w:left="567"/>
        <w:rPr>
          <w:rFonts w:asciiTheme="minorHAnsi" w:hAnsiTheme="minorHAnsi" w:cstheme="minorHAnsi"/>
          <w:i/>
          <w:sz w:val="22"/>
        </w:rPr>
      </w:pPr>
    </w:p>
    <w:p w:rsidR="00B35A78" w:rsidRDefault="00B35A78" w:rsidP="00B35A78">
      <w:pPr>
        <w:pStyle w:val="ListParagraph"/>
        <w:numPr>
          <w:ilvl w:val="0"/>
          <w:numId w:val="2"/>
        </w:numPr>
        <w:spacing w:line="240" w:lineRule="auto"/>
        <w:ind w:left="567" w:hanging="567"/>
        <w:rPr>
          <w:rFonts w:asciiTheme="minorHAnsi" w:hAnsiTheme="minorHAnsi" w:cstheme="minorHAnsi"/>
          <w:sz w:val="22"/>
        </w:rPr>
      </w:pPr>
      <w:r w:rsidRPr="00B35A78">
        <w:rPr>
          <w:rFonts w:asciiTheme="minorHAnsi" w:hAnsiTheme="minorHAnsi" w:cstheme="minorHAnsi"/>
          <w:sz w:val="22"/>
        </w:rPr>
        <w:t xml:space="preserve">Framework Schedule 6 (ii) Principles and Implementation of P22 ‘StandardShare’  </w:t>
      </w:r>
    </w:p>
    <w:p w:rsidR="00B35A78" w:rsidRDefault="00B35A78" w:rsidP="00B35A78">
      <w:pPr>
        <w:pStyle w:val="ListParagraph"/>
        <w:spacing w:line="240" w:lineRule="auto"/>
        <w:ind w:left="567"/>
        <w:rPr>
          <w:rFonts w:asciiTheme="minorHAnsi" w:hAnsiTheme="minorHAnsi" w:cstheme="minorHAnsi"/>
          <w:sz w:val="22"/>
        </w:rPr>
      </w:pPr>
    </w:p>
    <w:p w:rsidR="00B35A78" w:rsidRPr="00B35A78" w:rsidRDefault="00B35A78" w:rsidP="00B35A78">
      <w:pPr>
        <w:pStyle w:val="ListParagraph"/>
        <w:spacing w:line="240" w:lineRule="auto"/>
        <w:ind w:left="567"/>
        <w:rPr>
          <w:rFonts w:asciiTheme="minorHAnsi" w:hAnsiTheme="minorHAnsi" w:cstheme="minorHAnsi"/>
          <w:sz w:val="22"/>
        </w:rPr>
      </w:pPr>
      <w:r>
        <w:rPr>
          <w:rFonts w:asciiTheme="minorHAnsi" w:hAnsiTheme="minorHAnsi" w:cstheme="minorHAnsi"/>
          <w:sz w:val="22"/>
        </w:rPr>
        <w:t>I</w:t>
      </w:r>
      <w:r w:rsidRPr="00B35A78">
        <w:rPr>
          <w:rFonts w:asciiTheme="minorHAnsi" w:hAnsiTheme="minorHAnsi" w:cstheme="minorHAnsi"/>
          <w:sz w:val="22"/>
        </w:rPr>
        <w:t>nsert the following paragraph at the end:</w:t>
      </w:r>
    </w:p>
    <w:p w:rsidR="00B35A78" w:rsidRPr="00B35A78" w:rsidRDefault="00B35A78" w:rsidP="00B35A78">
      <w:pPr>
        <w:pStyle w:val="ListParagraph"/>
        <w:spacing w:line="240" w:lineRule="auto"/>
        <w:rPr>
          <w:rFonts w:asciiTheme="minorHAnsi" w:hAnsiTheme="minorHAnsi" w:cstheme="minorHAnsi"/>
          <w:sz w:val="22"/>
        </w:rPr>
      </w:pPr>
    </w:p>
    <w:p w:rsidR="00B35A78" w:rsidRPr="00B35A78" w:rsidRDefault="00B35A78" w:rsidP="00B35A78">
      <w:pPr>
        <w:pStyle w:val="ListParagraph"/>
        <w:spacing w:line="240" w:lineRule="auto"/>
        <w:ind w:left="567"/>
        <w:rPr>
          <w:rFonts w:asciiTheme="minorHAnsi" w:hAnsiTheme="minorHAnsi" w:cstheme="minorHAnsi"/>
          <w:i/>
          <w:sz w:val="22"/>
        </w:rPr>
      </w:pPr>
      <w:r w:rsidRPr="00B35A78">
        <w:rPr>
          <w:rFonts w:asciiTheme="minorHAnsi" w:hAnsiTheme="minorHAnsi" w:cstheme="minorHAnsi"/>
          <w:i/>
          <w:sz w:val="22"/>
        </w:rPr>
        <w:t xml:space="preserve">“Royalty Free License for use of </w:t>
      </w:r>
      <w:r>
        <w:rPr>
          <w:rFonts w:asciiTheme="minorHAnsi" w:hAnsiTheme="minorHAnsi" w:cstheme="minorHAnsi"/>
          <w:i/>
          <w:sz w:val="22"/>
        </w:rPr>
        <w:t>R</w:t>
      </w:r>
      <w:r w:rsidRPr="00B35A78">
        <w:rPr>
          <w:rFonts w:asciiTheme="minorHAnsi" w:hAnsiTheme="minorHAnsi" w:cstheme="minorHAnsi"/>
          <w:i/>
          <w:sz w:val="22"/>
        </w:rPr>
        <w:t xml:space="preserve">epeatable </w:t>
      </w:r>
      <w:r>
        <w:rPr>
          <w:rFonts w:asciiTheme="minorHAnsi" w:hAnsiTheme="minorHAnsi" w:cstheme="minorHAnsi"/>
          <w:i/>
          <w:sz w:val="22"/>
        </w:rPr>
        <w:t>R</w:t>
      </w:r>
      <w:r w:rsidRPr="00B35A78">
        <w:rPr>
          <w:rFonts w:asciiTheme="minorHAnsi" w:hAnsiTheme="minorHAnsi" w:cstheme="minorHAnsi"/>
          <w:i/>
          <w:sz w:val="22"/>
        </w:rPr>
        <w:t>ooms by Other Clients</w:t>
      </w:r>
    </w:p>
    <w:p w:rsidR="00B35A78" w:rsidRPr="00B35A78" w:rsidRDefault="00B35A78" w:rsidP="00B35A78">
      <w:pPr>
        <w:pStyle w:val="ListParagraph"/>
        <w:spacing w:line="240" w:lineRule="auto"/>
        <w:rPr>
          <w:rFonts w:asciiTheme="minorHAnsi" w:hAnsiTheme="minorHAnsi" w:cstheme="minorHAnsi"/>
          <w:i/>
          <w:sz w:val="22"/>
        </w:rPr>
      </w:pPr>
    </w:p>
    <w:p w:rsidR="00B35A78" w:rsidRDefault="00B35A78" w:rsidP="00B35A78">
      <w:pPr>
        <w:pStyle w:val="ListParagraph"/>
        <w:spacing w:line="240" w:lineRule="auto"/>
        <w:ind w:left="567" w:hanging="11"/>
        <w:rPr>
          <w:rFonts w:asciiTheme="minorHAnsi" w:hAnsiTheme="minorHAnsi" w:cstheme="minorHAnsi"/>
          <w:i/>
          <w:sz w:val="22"/>
        </w:rPr>
      </w:pPr>
      <w:r w:rsidRPr="00B35A78">
        <w:rPr>
          <w:rFonts w:asciiTheme="minorHAnsi" w:hAnsiTheme="minorHAnsi" w:cstheme="minorHAnsi"/>
          <w:i/>
          <w:sz w:val="22"/>
        </w:rPr>
        <w:t>PSCPs and their Supp</w:t>
      </w:r>
      <w:r>
        <w:rPr>
          <w:rFonts w:asciiTheme="minorHAnsi" w:hAnsiTheme="minorHAnsi" w:cstheme="minorHAnsi"/>
          <w:i/>
          <w:sz w:val="22"/>
        </w:rPr>
        <w:t xml:space="preserve">ly Chains are reminded that </w:t>
      </w:r>
      <w:proofErr w:type="gramStart"/>
      <w:r>
        <w:rPr>
          <w:rFonts w:asciiTheme="minorHAnsi" w:hAnsiTheme="minorHAnsi" w:cstheme="minorHAnsi"/>
          <w:i/>
          <w:sz w:val="22"/>
        </w:rPr>
        <w:t>Repeatable R</w:t>
      </w:r>
      <w:r w:rsidRPr="00B35A78">
        <w:rPr>
          <w:rFonts w:asciiTheme="minorHAnsi" w:hAnsiTheme="minorHAnsi" w:cstheme="minorHAnsi"/>
          <w:i/>
          <w:sz w:val="22"/>
        </w:rPr>
        <w:t>ooms</w:t>
      </w:r>
      <w:proofErr w:type="gramEnd"/>
      <w:r w:rsidRPr="00B35A78">
        <w:rPr>
          <w:rFonts w:asciiTheme="minorHAnsi" w:hAnsiTheme="minorHAnsi" w:cstheme="minorHAnsi"/>
          <w:i/>
          <w:sz w:val="22"/>
        </w:rPr>
        <w:t xml:space="preserve"> information is to be made available for use by any </w:t>
      </w:r>
      <w:r>
        <w:rPr>
          <w:rFonts w:asciiTheme="minorHAnsi" w:hAnsiTheme="minorHAnsi" w:cstheme="minorHAnsi"/>
          <w:i/>
          <w:sz w:val="22"/>
        </w:rPr>
        <w:t>Other</w:t>
      </w:r>
      <w:r w:rsidRPr="00B35A78">
        <w:rPr>
          <w:rFonts w:asciiTheme="minorHAnsi" w:hAnsiTheme="minorHAnsi" w:cstheme="minorHAnsi"/>
          <w:i/>
          <w:sz w:val="22"/>
        </w:rPr>
        <w:t xml:space="preserve"> Client even if they are not using the </w:t>
      </w:r>
      <w:r>
        <w:rPr>
          <w:rFonts w:asciiTheme="minorHAnsi" w:hAnsiTheme="minorHAnsi" w:cstheme="minorHAnsi"/>
          <w:i/>
          <w:sz w:val="22"/>
        </w:rPr>
        <w:t xml:space="preserve">Framework Agreement.  </w:t>
      </w:r>
      <w:r w:rsidRPr="00B35A78">
        <w:rPr>
          <w:rFonts w:asciiTheme="minorHAnsi" w:hAnsiTheme="minorHAnsi" w:cstheme="minorHAnsi"/>
          <w:i/>
          <w:sz w:val="22"/>
        </w:rPr>
        <w:t>Accordingly, in addition to the provision of Clause 22.2.2 the PSCP grants and shall procure that its Supply Chain grant to DH a non-exclusive, transferable, perpetual, irrevocable, royalty free licence in resp</w:t>
      </w:r>
      <w:r>
        <w:rPr>
          <w:rFonts w:asciiTheme="minorHAnsi" w:hAnsiTheme="minorHAnsi" w:cstheme="minorHAnsi"/>
          <w:i/>
          <w:sz w:val="22"/>
        </w:rPr>
        <w:t>ect of Repeatable R</w:t>
      </w:r>
      <w:r w:rsidRPr="00B35A78">
        <w:rPr>
          <w:rFonts w:asciiTheme="minorHAnsi" w:hAnsiTheme="minorHAnsi" w:cstheme="minorHAnsi"/>
          <w:i/>
          <w:sz w:val="22"/>
        </w:rPr>
        <w:t>ooms to use and to share with any Other Clients and Relevant Person</w:t>
      </w:r>
      <w:r w:rsidR="00A723CB">
        <w:rPr>
          <w:rFonts w:asciiTheme="minorHAnsi" w:hAnsiTheme="minorHAnsi" w:cstheme="minorHAnsi"/>
          <w:i/>
          <w:sz w:val="22"/>
        </w:rPr>
        <w:t>s</w:t>
      </w:r>
      <w:r w:rsidRPr="00B35A78">
        <w:rPr>
          <w:rFonts w:asciiTheme="minorHAnsi" w:hAnsiTheme="minorHAnsi" w:cstheme="minorHAnsi"/>
          <w:i/>
          <w:sz w:val="22"/>
        </w:rPr>
        <w:t>; and/or</w:t>
      </w:r>
      <w:r>
        <w:rPr>
          <w:rFonts w:asciiTheme="minorHAnsi" w:hAnsiTheme="minorHAnsi" w:cstheme="minorHAnsi"/>
          <w:i/>
          <w:sz w:val="22"/>
        </w:rPr>
        <w:t xml:space="preserve"> </w:t>
      </w:r>
      <w:r w:rsidRPr="00B35A78">
        <w:rPr>
          <w:rFonts w:asciiTheme="minorHAnsi" w:hAnsiTheme="minorHAnsi" w:cstheme="minorHAnsi"/>
          <w:i/>
          <w:sz w:val="22"/>
        </w:rPr>
        <w:t>publish (subject to any information that is exempt from disclosure in accordance with the provisions of FOIA being redacted),”</w:t>
      </w:r>
    </w:p>
    <w:p w:rsidR="00B35A78" w:rsidRDefault="00B35A78" w:rsidP="00B35A78">
      <w:pPr>
        <w:pStyle w:val="ListParagraph"/>
        <w:spacing w:line="240" w:lineRule="auto"/>
        <w:rPr>
          <w:rFonts w:asciiTheme="minorHAnsi" w:hAnsiTheme="minorHAnsi" w:cstheme="minorHAnsi"/>
          <w:i/>
          <w:sz w:val="22"/>
        </w:rPr>
      </w:pPr>
    </w:p>
    <w:p w:rsidR="00B35A78" w:rsidRPr="00B35A78" w:rsidRDefault="00B35A78" w:rsidP="00B35A78">
      <w:pPr>
        <w:pStyle w:val="ListParagraph"/>
        <w:rPr>
          <w:rFonts w:asciiTheme="minorHAnsi" w:hAnsiTheme="minorHAnsi" w:cstheme="minorHAnsi"/>
          <w:i/>
          <w:sz w:val="22"/>
        </w:rPr>
      </w:pPr>
    </w:p>
    <w:sectPr w:rsidR="00B35A78" w:rsidRPr="00B35A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11C8"/>
    <w:multiLevelType w:val="hybridMultilevel"/>
    <w:tmpl w:val="FED2460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FEE4FED"/>
    <w:multiLevelType w:val="multilevel"/>
    <w:tmpl w:val="55122564"/>
    <w:lvl w:ilvl="0">
      <w:start w:val="1"/>
      <w:numFmt w:val="decimal"/>
      <w:lvlText w:val="%1."/>
      <w:lvlJc w:val="left"/>
      <w:pPr>
        <w:ind w:left="170" w:hanging="170"/>
      </w:pPr>
      <w:rPr>
        <w:rFonts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2F631970"/>
    <w:multiLevelType w:val="hybridMultilevel"/>
    <w:tmpl w:val="BD1A3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3C220F6"/>
    <w:multiLevelType w:val="hybridMultilevel"/>
    <w:tmpl w:val="124C355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72851EC2"/>
    <w:multiLevelType w:val="multilevel"/>
    <w:tmpl w:val="E5241D78"/>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772936E4"/>
    <w:multiLevelType w:val="multilevel"/>
    <w:tmpl w:val="4AB09D1C"/>
    <w:lvl w:ilvl="0">
      <w:start w:val="1"/>
      <w:numFmt w:val="decimal"/>
      <w:pStyle w:val="GPSL1CLAUSEHEADING"/>
      <w:lvlText w:val="%1."/>
      <w:lvlJc w:val="left"/>
      <w:pPr>
        <w:ind w:left="2204"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pStyle w:val="GPSL3numberedclause"/>
      <w:isLgl/>
      <w:lvlText w:val="%1.%2.%3"/>
      <w:lvlJc w:val="left"/>
      <w:pPr>
        <w:ind w:left="4123"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1430"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5"/>
  </w:num>
  <w:num w:numId="2">
    <w:abstractNumId w:val="2"/>
  </w:num>
  <w:num w:numId="3">
    <w:abstractNumId w:val="1"/>
  </w:num>
  <w:num w:numId="4">
    <w:abstractNumId w:val="3"/>
  </w:num>
  <w:num w:numId="5">
    <w:abstractNumId w:val="1"/>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836"/>
    <w:rsid w:val="00050280"/>
    <w:rsid w:val="0010564B"/>
    <w:rsid w:val="00123638"/>
    <w:rsid w:val="00131373"/>
    <w:rsid w:val="002A52EB"/>
    <w:rsid w:val="00684111"/>
    <w:rsid w:val="00943636"/>
    <w:rsid w:val="00980793"/>
    <w:rsid w:val="00A723CB"/>
    <w:rsid w:val="00A91836"/>
    <w:rsid w:val="00B35A78"/>
    <w:rsid w:val="00B612BA"/>
    <w:rsid w:val="00B77D6E"/>
    <w:rsid w:val="00D70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rsid w:val="00A91836"/>
    <w:pPr>
      <w:numPr>
        <w:numId w:val="1"/>
      </w:numPr>
      <w:tabs>
        <w:tab w:val="left" w:pos="142"/>
      </w:tabs>
      <w:adjustRightInd w:val="0"/>
      <w:spacing w:before="120" w:after="240" w:line="240" w:lineRule="auto"/>
      <w:jc w:val="both"/>
      <w:outlineLvl w:val="1"/>
    </w:pPr>
    <w:rPr>
      <w:rFonts w:ascii="Calibri" w:eastAsia="STZhongsong" w:hAnsi="Calibri" w:cs="Arial"/>
      <w:b/>
      <w:caps/>
      <w:sz w:val="22"/>
      <w:lang w:eastAsia="zh-CN"/>
    </w:rPr>
  </w:style>
  <w:style w:type="paragraph" w:customStyle="1" w:styleId="GPSL3numberedclause">
    <w:name w:val="GPS L3 numbered clause"/>
    <w:basedOn w:val="Normal"/>
    <w:link w:val="GPSL3numberedclauseChar"/>
    <w:qFormat/>
    <w:rsid w:val="00A91836"/>
    <w:pPr>
      <w:numPr>
        <w:ilvl w:val="2"/>
        <w:numId w:val="1"/>
      </w:numPr>
      <w:tabs>
        <w:tab w:val="left" w:pos="1985"/>
      </w:tabs>
      <w:adjustRightInd w:val="0"/>
      <w:spacing w:before="120" w:after="120" w:line="240" w:lineRule="auto"/>
      <w:jc w:val="both"/>
    </w:pPr>
    <w:rPr>
      <w:rFonts w:ascii="Calibri" w:eastAsia="Times New Roman" w:hAnsi="Calibri" w:cs="Arial"/>
      <w:sz w:val="22"/>
      <w:lang w:eastAsia="zh-CN"/>
    </w:rPr>
  </w:style>
  <w:style w:type="paragraph" w:customStyle="1" w:styleId="GPSL4numberedclause">
    <w:name w:val="GPS L4 numbered clause"/>
    <w:basedOn w:val="GPSL3numberedclause"/>
    <w:qFormat/>
    <w:rsid w:val="00A91836"/>
    <w:pPr>
      <w:numPr>
        <w:ilvl w:val="3"/>
      </w:numPr>
      <w:tabs>
        <w:tab w:val="num" w:pos="360"/>
        <w:tab w:val="left" w:pos="2552"/>
      </w:tabs>
    </w:pPr>
  </w:style>
  <w:style w:type="paragraph" w:customStyle="1" w:styleId="GPSL5numberedclause">
    <w:name w:val="GPS L5 numbered clause"/>
    <w:basedOn w:val="GPSL4numberedclause"/>
    <w:qFormat/>
    <w:rsid w:val="00A91836"/>
    <w:pPr>
      <w:numPr>
        <w:ilvl w:val="4"/>
      </w:numPr>
      <w:tabs>
        <w:tab w:val="num" w:pos="360"/>
        <w:tab w:val="left" w:pos="3119"/>
      </w:tabs>
    </w:pPr>
  </w:style>
  <w:style w:type="paragraph" w:customStyle="1" w:styleId="GPSL2NumberedBoldHeading">
    <w:name w:val="GPS L2 Numbered Bold Heading"/>
    <w:basedOn w:val="Normal"/>
    <w:qFormat/>
    <w:rsid w:val="00A91836"/>
    <w:pPr>
      <w:numPr>
        <w:ilvl w:val="1"/>
        <w:numId w:val="1"/>
      </w:numPr>
      <w:tabs>
        <w:tab w:val="left" w:pos="1134"/>
      </w:tabs>
      <w:adjustRightInd w:val="0"/>
      <w:spacing w:before="120" w:after="120" w:line="240" w:lineRule="auto"/>
      <w:jc w:val="both"/>
    </w:pPr>
    <w:rPr>
      <w:rFonts w:ascii="Calibri" w:eastAsia="Times New Roman" w:hAnsi="Calibri" w:cs="Arial"/>
      <w:b/>
      <w:sz w:val="22"/>
      <w:lang w:eastAsia="zh-CN"/>
    </w:rPr>
  </w:style>
  <w:style w:type="paragraph" w:customStyle="1" w:styleId="GPSL6numbered">
    <w:name w:val="GPS L6 numbered"/>
    <w:basedOn w:val="GPSL5numberedclause"/>
    <w:qFormat/>
    <w:rsid w:val="00A91836"/>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A91836"/>
    <w:rPr>
      <w:rFonts w:ascii="Calibri" w:eastAsia="Times New Roman" w:hAnsi="Calibri" w:cs="Arial"/>
      <w:sz w:val="22"/>
      <w:lang w:eastAsia="zh-CN"/>
    </w:rPr>
  </w:style>
  <w:style w:type="paragraph" w:styleId="ListParagraph">
    <w:name w:val="List Paragraph"/>
    <w:basedOn w:val="Normal"/>
    <w:uiPriority w:val="34"/>
    <w:qFormat/>
    <w:rsid w:val="00A91836"/>
    <w:pPr>
      <w:ind w:left="720"/>
      <w:contextualSpacing/>
    </w:pPr>
  </w:style>
  <w:style w:type="paragraph" w:customStyle="1" w:styleId="GPsDefinition">
    <w:name w:val="GPs Definition"/>
    <w:basedOn w:val="Normal"/>
    <w:qFormat/>
    <w:rsid w:val="00980793"/>
    <w:p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sz w:val="22"/>
    </w:rPr>
  </w:style>
  <w:style w:type="paragraph" w:customStyle="1" w:styleId="GPSDefinitionL2">
    <w:name w:val="GPS Definition L2"/>
    <w:basedOn w:val="GPsDefinition"/>
    <w:qFormat/>
    <w:rsid w:val="00980793"/>
    <w:pPr>
      <w:numPr>
        <w:ilvl w:val="1"/>
        <w:numId w:val="3"/>
      </w:numPr>
    </w:pPr>
  </w:style>
  <w:style w:type="paragraph" w:customStyle="1" w:styleId="GPSDefinitionL3">
    <w:name w:val="GPS Definition L3"/>
    <w:basedOn w:val="GPSDefinitionL2"/>
    <w:qFormat/>
    <w:rsid w:val="00980793"/>
    <w:pPr>
      <w:numPr>
        <w:ilvl w:val="2"/>
      </w:numPr>
    </w:pPr>
  </w:style>
  <w:style w:type="paragraph" w:customStyle="1" w:styleId="GPSDefinitionL4">
    <w:name w:val="GPS Definition L4"/>
    <w:basedOn w:val="GPSDefinitionL3"/>
    <w:qFormat/>
    <w:rsid w:val="00980793"/>
    <w:pPr>
      <w:numPr>
        <w:ilvl w:val="3"/>
      </w:numPr>
    </w:pPr>
  </w:style>
  <w:style w:type="paragraph" w:styleId="CommentText">
    <w:name w:val="annotation text"/>
    <w:basedOn w:val="Normal"/>
    <w:link w:val="CommentTextChar"/>
    <w:unhideWhenUsed/>
    <w:rsid w:val="00980793"/>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CommentTextChar">
    <w:name w:val="Comment Text Char"/>
    <w:basedOn w:val="DefaultParagraphFont"/>
    <w:link w:val="CommentText"/>
    <w:rsid w:val="00980793"/>
    <w:rPr>
      <w:rFonts w:ascii="Calibri" w:eastAsia="Times New Roman" w:hAnsi="Calibri" w:cs="Arial"/>
      <w:sz w:val="20"/>
      <w:szCs w:val="20"/>
    </w:rPr>
  </w:style>
  <w:style w:type="character" w:styleId="CommentReference">
    <w:name w:val="annotation reference"/>
    <w:uiPriority w:val="99"/>
    <w:unhideWhenUsed/>
    <w:rsid w:val="00980793"/>
    <w:rPr>
      <w:sz w:val="16"/>
    </w:rPr>
  </w:style>
  <w:style w:type="paragraph" w:styleId="BalloonText">
    <w:name w:val="Balloon Text"/>
    <w:basedOn w:val="Normal"/>
    <w:link w:val="BalloonTextChar"/>
    <w:uiPriority w:val="99"/>
    <w:semiHidden/>
    <w:unhideWhenUsed/>
    <w:rsid w:val="009807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rsid w:val="00A91836"/>
    <w:pPr>
      <w:numPr>
        <w:numId w:val="1"/>
      </w:numPr>
      <w:tabs>
        <w:tab w:val="left" w:pos="142"/>
      </w:tabs>
      <w:adjustRightInd w:val="0"/>
      <w:spacing w:before="120" w:after="240" w:line="240" w:lineRule="auto"/>
      <w:jc w:val="both"/>
      <w:outlineLvl w:val="1"/>
    </w:pPr>
    <w:rPr>
      <w:rFonts w:ascii="Calibri" w:eastAsia="STZhongsong" w:hAnsi="Calibri" w:cs="Arial"/>
      <w:b/>
      <w:caps/>
      <w:sz w:val="22"/>
      <w:lang w:eastAsia="zh-CN"/>
    </w:rPr>
  </w:style>
  <w:style w:type="paragraph" w:customStyle="1" w:styleId="GPSL3numberedclause">
    <w:name w:val="GPS L3 numbered clause"/>
    <w:basedOn w:val="Normal"/>
    <w:link w:val="GPSL3numberedclauseChar"/>
    <w:qFormat/>
    <w:rsid w:val="00A91836"/>
    <w:pPr>
      <w:numPr>
        <w:ilvl w:val="2"/>
        <w:numId w:val="1"/>
      </w:numPr>
      <w:tabs>
        <w:tab w:val="left" w:pos="1985"/>
      </w:tabs>
      <w:adjustRightInd w:val="0"/>
      <w:spacing w:before="120" w:after="120" w:line="240" w:lineRule="auto"/>
      <w:jc w:val="both"/>
    </w:pPr>
    <w:rPr>
      <w:rFonts w:ascii="Calibri" w:eastAsia="Times New Roman" w:hAnsi="Calibri" w:cs="Arial"/>
      <w:sz w:val="22"/>
      <w:lang w:eastAsia="zh-CN"/>
    </w:rPr>
  </w:style>
  <w:style w:type="paragraph" w:customStyle="1" w:styleId="GPSL4numberedclause">
    <w:name w:val="GPS L4 numbered clause"/>
    <w:basedOn w:val="GPSL3numberedclause"/>
    <w:qFormat/>
    <w:rsid w:val="00A91836"/>
    <w:pPr>
      <w:numPr>
        <w:ilvl w:val="3"/>
      </w:numPr>
      <w:tabs>
        <w:tab w:val="num" w:pos="360"/>
        <w:tab w:val="left" w:pos="2552"/>
      </w:tabs>
    </w:pPr>
  </w:style>
  <w:style w:type="paragraph" w:customStyle="1" w:styleId="GPSL5numberedclause">
    <w:name w:val="GPS L5 numbered clause"/>
    <w:basedOn w:val="GPSL4numberedclause"/>
    <w:qFormat/>
    <w:rsid w:val="00A91836"/>
    <w:pPr>
      <w:numPr>
        <w:ilvl w:val="4"/>
      </w:numPr>
      <w:tabs>
        <w:tab w:val="num" w:pos="360"/>
        <w:tab w:val="left" w:pos="3119"/>
      </w:tabs>
    </w:pPr>
  </w:style>
  <w:style w:type="paragraph" w:customStyle="1" w:styleId="GPSL2NumberedBoldHeading">
    <w:name w:val="GPS L2 Numbered Bold Heading"/>
    <w:basedOn w:val="Normal"/>
    <w:qFormat/>
    <w:rsid w:val="00A91836"/>
    <w:pPr>
      <w:numPr>
        <w:ilvl w:val="1"/>
        <w:numId w:val="1"/>
      </w:numPr>
      <w:tabs>
        <w:tab w:val="left" w:pos="1134"/>
      </w:tabs>
      <w:adjustRightInd w:val="0"/>
      <w:spacing w:before="120" w:after="120" w:line="240" w:lineRule="auto"/>
      <w:jc w:val="both"/>
    </w:pPr>
    <w:rPr>
      <w:rFonts w:ascii="Calibri" w:eastAsia="Times New Roman" w:hAnsi="Calibri" w:cs="Arial"/>
      <w:b/>
      <w:sz w:val="22"/>
      <w:lang w:eastAsia="zh-CN"/>
    </w:rPr>
  </w:style>
  <w:style w:type="paragraph" w:customStyle="1" w:styleId="GPSL6numbered">
    <w:name w:val="GPS L6 numbered"/>
    <w:basedOn w:val="GPSL5numberedclause"/>
    <w:qFormat/>
    <w:rsid w:val="00A91836"/>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A91836"/>
    <w:rPr>
      <w:rFonts w:ascii="Calibri" w:eastAsia="Times New Roman" w:hAnsi="Calibri" w:cs="Arial"/>
      <w:sz w:val="22"/>
      <w:lang w:eastAsia="zh-CN"/>
    </w:rPr>
  </w:style>
  <w:style w:type="paragraph" w:styleId="ListParagraph">
    <w:name w:val="List Paragraph"/>
    <w:basedOn w:val="Normal"/>
    <w:uiPriority w:val="34"/>
    <w:qFormat/>
    <w:rsid w:val="00A91836"/>
    <w:pPr>
      <w:ind w:left="720"/>
      <w:contextualSpacing/>
    </w:pPr>
  </w:style>
  <w:style w:type="paragraph" w:customStyle="1" w:styleId="GPsDefinition">
    <w:name w:val="GPs Definition"/>
    <w:basedOn w:val="Normal"/>
    <w:qFormat/>
    <w:rsid w:val="00980793"/>
    <w:p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sz w:val="22"/>
    </w:rPr>
  </w:style>
  <w:style w:type="paragraph" w:customStyle="1" w:styleId="GPSDefinitionL2">
    <w:name w:val="GPS Definition L2"/>
    <w:basedOn w:val="GPsDefinition"/>
    <w:qFormat/>
    <w:rsid w:val="00980793"/>
    <w:pPr>
      <w:numPr>
        <w:ilvl w:val="1"/>
        <w:numId w:val="3"/>
      </w:numPr>
    </w:pPr>
  </w:style>
  <w:style w:type="paragraph" w:customStyle="1" w:styleId="GPSDefinitionL3">
    <w:name w:val="GPS Definition L3"/>
    <w:basedOn w:val="GPSDefinitionL2"/>
    <w:qFormat/>
    <w:rsid w:val="00980793"/>
    <w:pPr>
      <w:numPr>
        <w:ilvl w:val="2"/>
      </w:numPr>
    </w:pPr>
  </w:style>
  <w:style w:type="paragraph" w:customStyle="1" w:styleId="GPSDefinitionL4">
    <w:name w:val="GPS Definition L4"/>
    <w:basedOn w:val="GPSDefinitionL3"/>
    <w:qFormat/>
    <w:rsid w:val="00980793"/>
    <w:pPr>
      <w:numPr>
        <w:ilvl w:val="3"/>
      </w:numPr>
    </w:pPr>
  </w:style>
  <w:style w:type="paragraph" w:styleId="CommentText">
    <w:name w:val="annotation text"/>
    <w:basedOn w:val="Normal"/>
    <w:link w:val="CommentTextChar"/>
    <w:unhideWhenUsed/>
    <w:rsid w:val="00980793"/>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CommentTextChar">
    <w:name w:val="Comment Text Char"/>
    <w:basedOn w:val="DefaultParagraphFont"/>
    <w:link w:val="CommentText"/>
    <w:rsid w:val="00980793"/>
    <w:rPr>
      <w:rFonts w:ascii="Calibri" w:eastAsia="Times New Roman" w:hAnsi="Calibri" w:cs="Arial"/>
      <w:sz w:val="20"/>
      <w:szCs w:val="20"/>
    </w:rPr>
  </w:style>
  <w:style w:type="character" w:styleId="CommentReference">
    <w:name w:val="annotation reference"/>
    <w:uiPriority w:val="99"/>
    <w:unhideWhenUsed/>
    <w:rsid w:val="00980793"/>
    <w:rPr>
      <w:sz w:val="16"/>
    </w:rPr>
  </w:style>
  <w:style w:type="paragraph" w:styleId="BalloonText">
    <w:name w:val="Balloon Text"/>
    <w:basedOn w:val="Normal"/>
    <w:link w:val="BalloonTextChar"/>
    <w:uiPriority w:val="99"/>
    <w:semiHidden/>
    <w:unhideWhenUsed/>
    <w:rsid w:val="009807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7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774608">
      <w:bodyDiv w:val="1"/>
      <w:marLeft w:val="0"/>
      <w:marRight w:val="0"/>
      <w:marTop w:val="0"/>
      <w:marBottom w:val="0"/>
      <w:divBdr>
        <w:top w:val="none" w:sz="0" w:space="0" w:color="auto"/>
        <w:left w:val="none" w:sz="0" w:space="0" w:color="auto"/>
        <w:bottom w:val="none" w:sz="0" w:space="0" w:color="auto"/>
        <w:right w:val="none" w:sz="0" w:space="0" w:color="auto"/>
      </w:divBdr>
    </w:div>
    <w:div w:id="727149441">
      <w:bodyDiv w:val="1"/>
      <w:marLeft w:val="0"/>
      <w:marRight w:val="0"/>
      <w:marTop w:val="0"/>
      <w:marBottom w:val="0"/>
      <w:divBdr>
        <w:top w:val="none" w:sz="0" w:space="0" w:color="auto"/>
        <w:left w:val="none" w:sz="0" w:space="0" w:color="auto"/>
        <w:bottom w:val="none" w:sz="0" w:space="0" w:color="auto"/>
        <w:right w:val="none" w:sz="0" w:space="0" w:color="auto"/>
      </w:divBdr>
    </w:div>
    <w:div w:id="930814163">
      <w:bodyDiv w:val="1"/>
      <w:marLeft w:val="0"/>
      <w:marRight w:val="0"/>
      <w:marTop w:val="0"/>
      <w:marBottom w:val="0"/>
      <w:divBdr>
        <w:top w:val="none" w:sz="0" w:space="0" w:color="auto"/>
        <w:left w:val="none" w:sz="0" w:space="0" w:color="auto"/>
        <w:bottom w:val="none" w:sz="0" w:space="0" w:color="auto"/>
        <w:right w:val="none" w:sz="0" w:space="0" w:color="auto"/>
      </w:divBdr>
    </w:div>
    <w:div w:id="1008754248">
      <w:bodyDiv w:val="1"/>
      <w:marLeft w:val="0"/>
      <w:marRight w:val="0"/>
      <w:marTop w:val="0"/>
      <w:marBottom w:val="0"/>
      <w:divBdr>
        <w:top w:val="none" w:sz="0" w:space="0" w:color="auto"/>
        <w:left w:val="none" w:sz="0" w:space="0" w:color="auto"/>
        <w:bottom w:val="none" w:sz="0" w:space="0" w:color="auto"/>
        <w:right w:val="none" w:sz="0" w:space="0" w:color="auto"/>
      </w:divBdr>
    </w:div>
    <w:div w:id="191778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Simkins Victoria DWP COMMERCIAL LEGAL</dc:creator>
  <cp:lastModifiedBy>Simkins Victoria DWP COMMERCIAL LEGAL</cp:lastModifiedBy>
  <cp:revision>2</cp:revision>
  <dcterms:created xsi:type="dcterms:W3CDTF">2016-05-18T11:21:00Z</dcterms:created>
  <dcterms:modified xsi:type="dcterms:W3CDTF">2016-05-18T11:21:00Z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196784960</vt:i4>
  </property>
  <property fmtid="{D5CDD505-2E9C-101B-9397-08002B2CF9AE}" pid="3" name="_NewReviewCycle">
    <vt:lpwstr/>
  </property>
  <property fmtid="{D5CDD505-2E9C-101B-9397-08002B2CF9AE}" pid="4" name="_EmailSubject">
    <vt:lpwstr>P22 framework agreement clarification</vt:lpwstr>
  </property>
  <property fmtid="{D5CDD505-2E9C-101B-9397-08002B2CF9AE}" pid="5" name="_AuthorEmail">
    <vt:lpwstr>VICTORIA.SIMKINS@DWP.GSI.GOV.UK</vt:lpwstr>
  </property>
  <property fmtid="{D5CDD505-2E9C-101B-9397-08002B2CF9AE}" pid="6" name="_AuthorEmailDisplayName">
    <vt:lpwstr>Simkins Victoria DWP COMMERCIAL LEGAL</vt:lpwstr>
  </property>
  <property fmtid="{D5CDD505-2E9C-101B-9397-08002B2CF9AE}" pid="8" name="_PreviousAdHocReviewCycleID">
    <vt:i4>375804186</vt:i4>
  </property>
</Properties>
</file>